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071C" w14:textId="7824CCD1" w:rsidR="006C6E60" w:rsidRPr="007B3064" w:rsidRDefault="006C6E60" w:rsidP="00AD45B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B306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Comunicato Stampa</w:t>
      </w:r>
    </w:p>
    <w:p w14:paraId="737AD97B" w14:textId="77777777" w:rsidR="006C6E60" w:rsidRPr="007B3064" w:rsidRDefault="006C6E60" w:rsidP="00AD45B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745F24BC" w14:textId="4605A902" w:rsidR="00433B85" w:rsidRDefault="006C6E60" w:rsidP="0065051E">
      <w:pPr>
        <w:spacing w:after="0" w:line="240" w:lineRule="auto"/>
        <w:jc w:val="both"/>
        <w:rPr>
          <w:rStyle w:val="Enfasigrassetto"/>
          <w:rFonts w:ascii="Calibri" w:hAnsi="Calibri" w:cs="Calibri"/>
          <w:color w:val="212121"/>
          <w:sz w:val="27"/>
          <w:szCs w:val="27"/>
          <w:shd w:val="clear" w:color="auto" w:fill="FFFFFF"/>
        </w:rPr>
      </w:pPr>
      <w:r w:rsidRPr="007B3064">
        <w:rPr>
          <w:rStyle w:val="Enfasigrassetto"/>
          <w:rFonts w:ascii="Calibri" w:hAnsi="Calibri" w:cs="Calibri"/>
          <w:i/>
          <w:iCs/>
          <w:color w:val="212121"/>
          <w:sz w:val="27"/>
          <w:szCs w:val="27"/>
          <w:shd w:val="clear" w:color="auto" w:fill="FFFFFF"/>
        </w:rPr>
        <w:t xml:space="preserve">Deep </w:t>
      </w:r>
      <w:proofErr w:type="spellStart"/>
      <w:r w:rsidRPr="007B3064">
        <w:rPr>
          <w:rStyle w:val="Enfasigrassetto"/>
          <w:rFonts w:ascii="Calibri" w:hAnsi="Calibri" w:cs="Calibri"/>
          <w:i/>
          <w:iCs/>
          <w:color w:val="212121"/>
          <w:sz w:val="27"/>
          <w:szCs w:val="27"/>
          <w:shd w:val="clear" w:color="auto" w:fill="FFFFFF"/>
        </w:rPr>
        <w:t>Surfaces</w:t>
      </w:r>
      <w:proofErr w:type="spellEnd"/>
      <w:r w:rsidRPr="007B3064">
        <w:rPr>
          <w:rStyle w:val="Enfasigrassetto"/>
          <w:rFonts w:ascii="Calibri" w:hAnsi="Calibri" w:cs="Calibri"/>
          <w:color w:val="212121"/>
          <w:sz w:val="27"/>
          <w:szCs w:val="27"/>
          <w:shd w:val="clear" w:color="auto" w:fill="FFFFFF"/>
        </w:rPr>
        <w:t xml:space="preserve">. </w:t>
      </w:r>
      <w:r w:rsidR="00433B85">
        <w:rPr>
          <w:rStyle w:val="Enfasigrassetto"/>
          <w:rFonts w:ascii="Calibri" w:hAnsi="Calibri" w:cs="Calibri"/>
          <w:color w:val="212121"/>
          <w:sz w:val="27"/>
          <w:szCs w:val="27"/>
          <w:shd w:val="clear" w:color="auto" w:fill="FFFFFF"/>
        </w:rPr>
        <w:t xml:space="preserve">L’esposizione organizzata a Venezia </w:t>
      </w:r>
      <w:r w:rsidR="00C479F0">
        <w:rPr>
          <w:rStyle w:val="Enfasigrassetto"/>
          <w:rFonts w:ascii="Calibri" w:hAnsi="Calibri" w:cs="Calibri"/>
          <w:color w:val="212121"/>
          <w:sz w:val="27"/>
          <w:szCs w:val="27"/>
          <w:shd w:val="clear" w:color="auto" w:fill="FFFFFF"/>
        </w:rPr>
        <w:t>su siti UNESCO del mondo</w:t>
      </w:r>
      <w:r w:rsidR="00433B85">
        <w:rPr>
          <w:rStyle w:val="Enfasigrassetto"/>
          <w:rFonts w:ascii="Calibri" w:hAnsi="Calibri" w:cs="Calibri"/>
          <w:color w:val="212121"/>
          <w:sz w:val="27"/>
          <w:szCs w:val="27"/>
          <w:shd w:val="clear" w:color="auto" w:fill="FFFFFF"/>
        </w:rPr>
        <w:t xml:space="preserve"> parla anche mantovano. </w:t>
      </w:r>
    </w:p>
    <w:p w14:paraId="0A7D475C" w14:textId="77777777" w:rsidR="00433B85" w:rsidRDefault="00433B85" w:rsidP="0065051E">
      <w:pPr>
        <w:spacing w:after="0" w:line="240" w:lineRule="auto"/>
        <w:jc w:val="both"/>
        <w:rPr>
          <w:rStyle w:val="Enfasigrassetto"/>
          <w:rFonts w:ascii="Calibri" w:hAnsi="Calibri" w:cs="Calibri"/>
          <w:color w:val="212121"/>
          <w:sz w:val="27"/>
          <w:szCs w:val="27"/>
          <w:shd w:val="clear" w:color="auto" w:fill="FFFFFF"/>
        </w:rPr>
      </w:pPr>
    </w:p>
    <w:p w14:paraId="3A567427" w14:textId="6F62250F" w:rsidR="0065051E" w:rsidRDefault="00910900" w:rsidP="0065051E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“</w:t>
      </w:r>
      <w:r w:rsidR="006C6E60" w:rsidRPr="0055235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Mantova e Sabbioneta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”</w:t>
      </w:r>
      <w:r w:rsidR="006C6E60"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è uno </w:t>
      </w:r>
      <w:r w:rsidR="007B306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dei due</w:t>
      </w:r>
      <w:r w:rsidR="0091072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7B306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siti italiani (l’altro è “Ivrea. </w:t>
      </w:r>
      <w:r w:rsidR="0091072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Città</w:t>
      </w:r>
      <w:r w:rsidR="007B306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industriale del XX secolo”) </w:t>
      </w:r>
      <w:r w:rsidR="0091072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che partecipano</w:t>
      </w:r>
      <w:r w:rsidR="007B306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alla mostra</w:t>
      </w:r>
      <w:r w:rsidR="007B3064" w:rsidRPr="007B306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7B3064" w:rsidRPr="0055235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Deep </w:t>
      </w:r>
      <w:proofErr w:type="spellStart"/>
      <w:r w:rsidR="007B3064" w:rsidRPr="0055235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Surfaces</w:t>
      </w:r>
      <w:proofErr w:type="spellEnd"/>
      <w:r w:rsidR="007B306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</w:t>
      </w:r>
      <w:r w:rsidR="007B3064" w:rsidRPr="00910900"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  <w:t>Superfici Profonde</w:t>
      </w:r>
      <w:r w:rsidR="007B3064"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esposizione organizzata da</w:t>
      </w:r>
      <w:r w:rsidR="001B38D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ll’UNESCO, </w:t>
      </w:r>
      <w:r w:rsidR="007B3064" w:rsidRPr="00433B8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in collaborazione con la Royal Commission for </w:t>
      </w:r>
      <w:proofErr w:type="spellStart"/>
      <w:r w:rsidR="007B3064" w:rsidRPr="00433B8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AlUla</w:t>
      </w:r>
      <w:proofErr w:type="spellEnd"/>
      <w:r w:rsidR="00433B8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(</w:t>
      </w:r>
      <w:r w:rsidR="001B38D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RCU)</w:t>
      </w:r>
      <w:r w:rsidRPr="00433B8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che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sarà inaugurata a Venezia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venerdì 9 maggio</w:t>
      </w:r>
      <w:r w:rsidR="0065051E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presso Palazzo Zorzi</w:t>
      </w:r>
      <w:r w:rsidR="00F21718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</w:t>
      </w:r>
      <w:r w:rsidR="001B38D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sede dell’Ufficio Regionale UNESCO per la Scienza e la Cultura in Europa. La mostra rimarrà </w:t>
      </w:r>
      <w:r w:rsidR="00F21718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aperta al pubblico con ingresso gratuito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dal 10 maggio </w:t>
      </w:r>
      <w:r w:rsidR="00F21718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al 23 novembre 2025.</w:t>
      </w:r>
    </w:p>
    <w:p w14:paraId="4F396AB4" w14:textId="652DFA20" w:rsidR="00A76DF3" w:rsidRDefault="000E4D6B" w:rsidP="00A76DF3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“</w:t>
      </w:r>
      <w:r w:rsidR="00A76DF3" w:rsidRPr="002F7101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Deep </w:t>
      </w:r>
      <w:proofErr w:type="spellStart"/>
      <w:r w:rsidR="00A76DF3" w:rsidRPr="002F7101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Surfaces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. </w:t>
      </w:r>
      <w:r w:rsidR="00A76DF3" w:rsidRPr="007B306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Architettura per migliorare l’esperienza dei visitatori dei siti UNESCO”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si propone</w:t>
      </w:r>
      <w:r w:rsidR="00A76DF3" w:rsidRPr="0091090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</w:t>
      </w:r>
      <w:r w:rsidR="00A76DF3" w:rsidRPr="0091090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A76DF3" w:rsidRPr="006C6E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mostrare</w:t>
      </w:r>
      <w:r w:rsidR="00A76DF3" w:rsidRPr="00613124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A76DF3" w:rsidRPr="006C6E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le esperienze e le buone pratiche 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delle designazioni UNESCO di </w:t>
      </w:r>
      <w:r w:rsidR="00A76DF3" w:rsidRPr="006C6E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tutto il mondo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attraverso una selezione di più di 50 </w:t>
      </w:r>
      <w:r w:rsidR="00A76DF3" w:rsidRPr="00613124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Centri </w:t>
      </w:r>
      <w:r w:rsidR="001B38D5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Visitatori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. </w:t>
      </w:r>
      <w:r w:rsidR="001B38D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 Centri Visitatori hanno il potenziale di rappresentare 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strutture privilegiate per la narrazione de</w:t>
      </w:r>
      <w:r w:rsidR="001B38D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 siti UNESCO, ivi inclusi siti del 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Patrimonio Mondiale</w:t>
      </w:r>
      <w:r w:rsidR="001B38D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Riserve di Biosfera e Geoparchi Globali, 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con l’obiettivo di migliorare l’esperienza di fruizione dei visitatori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 di porsi come</w:t>
      </w:r>
      <w:r w:rsidR="00A76DF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ambienti di apprendimento per affrontare le sfide della contemporaneità, dallo sviluppo sostenibile alla cittadinanza globale. </w:t>
      </w:r>
    </w:p>
    <w:p w14:paraId="48F33AE7" w14:textId="65361E3E" w:rsidR="00DD34A9" w:rsidRDefault="00DD34A9" w:rsidP="00DD34A9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“Siamo orgogliosi di essere stati selezionati e di portare a Venezia l’esperienza del </w:t>
      </w:r>
      <w:r w:rsidRPr="00910722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Mantova e Sabbioneta Heritage Centre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471D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– dichiara l’Assessora </w:t>
      </w:r>
      <w:r w:rsidR="000B7EF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alla valorizzazione del sito UNESCO </w:t>
      </w:r>
      <w:r w:rsidRPr="00471D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del Comune di Mantova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</w:t>
      </w:r>
      <w:r w:rsidRPr="00471D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Alessandra Riccadonna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–</w:t>
      </w:r>
      <w:r w:rsidRPr="00471D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un centro di interpretazione diffuso del sito che abbiamo attivato a partire dal 2024, a Mantova presso le Pescherie di Giulio Romano, e a Sabbioneta nelle sale a piano terra di Palazzo Giardino e Palazzo del Cavalleggero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e che da circa un anno sta </w:t>
      </w:r>
      <w:r w:rsidR="000B7EF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proponendo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percorsi di formazione dedicati agli operatori culturali</w:t>
      </w:r>
      <w:r w:rsidR="000B7EF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del territorio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.”</w:t>
      </w:r>
    </w:p>
    <w:p w14:paraId="3C1B5D2D" w14:textId="2D43F1AB" w:rsidR="00A76DF3" w:rsidRDefault="00A76DF3" w:rsidP="00DD34A9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Tra pannelli e installazioni fisiche e multimediali, l’allestimento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introduce ai 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valori e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gli obiettivi globali dell’UNESCO, per poi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inoltrarsi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nel variegato mondo dei Visitor Centre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 L’esposizione esplora la varietà di scelte architettoniche individuate, dalle nuove costruzioni agli edifici storici riconvertiti, e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affronta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le principali aree tematiche di intervento: Interpretazione del Patrimonio; Supporto alla gestione del sito; Promuovere accesso, inclusione e sostenibilità; Lavorare con e per le comunità.</w:t>
      </w:r>
    </w:p>
    <w:p w14:paraId="785405FE" w14:textId="698B808E" w:rsidR="00A76DF3" w:rsidRDefault="00A76DF3" w:rsidP="00A76DF3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Nella </w:t>
      </w:r>
      <w:proofErr w:type="spellStart"/>
      <w:r w:rsidR="001B38D5"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  <w:t>Material</w:t>
      </w:r>
      <w:proofErr w:type="spellEnd"/>
      <w:r w:rsidR="001B38D5">
        <w:rPr>
          <w:rFonts w:ascii="Calibri" w:eastAsia="Times New Roman" w:hAnsi="Calibri" w:cs="Calibri"/>
          <w:i/>
          <w:iCs/>
          <w:kern w:val="0"/>
          <w:sz w:val="24"/>
          <w:szCs w:val="24"/>
          <w:lang w:eastAsia="it-IT"/>
          <w14:ligatures w14:val="none"/>
        </w:rPr>
        <w:t xml:space="preserve"> Library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l’installazione </w:t>
      </w:r>
      <w:r w:rsidRPr="006C6E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che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espone</w:t>
      </w:r>
      <w:r w:rsidRPr="006C6E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campioni di materiali da costruzione utilizzati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nei Visitor Centre </w:t>
      </w:r>
      <w:r w:rsidRPr="006C6E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partecipanti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il Mantova e Sabbioneta Heritage Centre sarà rappresentato da un “bastone laterizio” proveniente dalle Pescherie di Giulio Romano, un elemento originale in terracotta impiegato nella copertura 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del 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tetto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 V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errà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riutilizzato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nei restauri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eseguiti a cura della Fondazione Le Pescherie di Giulio Romano, conservando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così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la testimonianza storica di un sistema costruttivo tradizionale. </w:t>
      </w:r>
      <w:r w:rsid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Nella sua semplicità, si tratta di un elemento fortemente simbolico, che caratterizza l’architettura non solo di questo edificio, realizzato principalmente in laterizio intonacato e legno, </w:t>
      </w:r>
      <w:r w:rsidR="000B7EF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ma anche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 </w:t>
      </w:r>
      <w:r w:rsid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gran parte della città. </w:t>
      </w:r>
    </w:p>
    <w:p w14:paraId="0D515D24" w14:textId="77777777" w:rsidR="00F21718" w:rsidRDefault="00471DBB" w:rsidP="00F21718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“I Centri di Interpretazione del Patrimonio rappresentano il collegamento fisico tra il sito e le comunità che lo abitano</w:t>
      </w:r>
      <w:r w:rsidR="00F21718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- conclude Marco Pasquali, Sindaco di Sabbioneta – </w:t>
      </w:r>
      <w:r w:rsidR="00F21718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iamo sempre più convinti che la conservazione del nostro patrimonio condiviso passi anche attraverso la presa di consapevolezza della comunità locale e il sostegno a pratiche inclusive e partecipative di </w:t>
      </w:r>
      <w:r w:rsidR="0065051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riappropriazione dei valori che ci caratterizzano, creando connessioni significative tra le persone e l’ambiente che abitano”. </w:t>
      </w:r>
    </w:p>
    <w:p w14:paraId="09BED5FE" w14:textId="0083B185" w:rsidR="00F21718" w:rsidRPr="00DD34A9" w:rsidRDefault="00F21718" w:rsidP="00F21718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lastRenderedPageBreak/>
        <w:t xml:space="preserve">L’esposizione, evento collaterale della </w:t>
      </w:r>
      <w:proofErr w:type="gramStart"/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19</w:t>
      </w:r>
      <w:r w:rsidR="000E4D6B" w:rsidRPr="000E4D6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it-IT"/>
          <w14:ligatures w14:val="none"/>
        </w:rPr>
        <w:t>a</w:t>
      </w:r>
      <w:proofErr w:type="gramEnd"/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Mostra Internazionale di Architettura – La Biennale di Venezia, rappresenta un’occasione di caratura internazionale molto importante per la promozione del nostro sito UNESCO, riconoscimento di un percorso, tutt’ora in divenire, volto ad attrarre sempre più 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un 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pubblico alla ricerca di propost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cultural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di qualità. </w:t>
      </w:r>
    </w:p>
    <w:p w14:paraId="4214D785" w14:textId="77777777" w:rsidR="00F21718" w:rsidRDefault="00F21718" w:rsidP="00F21718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1D28C5CF" w14:textId="2FDB82EE" w:rsidR="00552353" w:rsidRPr="00552353" w:rsidRDefault="00F21718" w:rsidP="0065051E">
      <w:pPr>
        <w:spacing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BOX </w:t>
      </w:r>
      <w:r w:rsidR="00552353" w:rsidRPr="0055235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MANTOVA E SABBIONETA HERITAGE CENTRE</w:t>
      </w:r>
    </w:p>
    <w:p w14:paraId="799920F9" w14:textId="3D2DC82A" w:rsidR="00AD45B2" w:rsidRDefault="00AD45B2" w:rsidP="0065051E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Mantova e Sabbioneta Heritage Centre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(MSHC)</w:t>
      </w:r>
      <w:r w:rsidR="00DA08B5"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centro di interpretazione del sito UNESCO, è costituito da un sistema diffuso di spazi in cui poter ritrovare informazioni e proposte collegate alla conoscenza del sito UNESCO. </w:t>
      </w:r>
      <w:r w:rsidR="00E079DE"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aperto al pubblico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nel </w:t>
      </w:r>
      <w:r w:rsidR="00E079DE"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2024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0A292166" w14:textId="4353DE34" w:rsidR="000B7EFC" w:rsidRPr="00552353" w:rsidRDefault="000B7EFC" w:rsidP="0065051E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Sia a Mantova che a Sabbioneta il 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MSHC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ha trovato collocazione in edifici storici altamente simbolici e significativi, rifunzionalizzati per essere riportati al centro della vita culturale delle due città. </w:t>
      </w:r>
    </w:p>
    <w:p w14:paraId="08EB6B99" w14:textId="3FAACBFD" w:rsidR="00DA08B5" w:rsidRPr="00552353" w:rsidRDefault="00DA08B5" w:rsidP="0065051E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A Mantova la sede è stata individuate presso le Pescherie di Giulio Romano, dove è possibile immergersi in una installazione multisensoriale, utilizzare la App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in realtà aumentata che riproduce scorci di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Mantova rinascimentale, visionare il video “La memoria che riaffiora”. A Sabbioneta il MSHC trova spazio nelle sale a piano terra di Palazzo Giardino e del Palazzo del Cavalleggero, con il tavolo multimediale sull’evoluzione urbanistica di Mantova e Sabbioneta</w:t>
      </w:r>
      <w:r w:rsidR="008C7F76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(</w:t>
      </w:r>
      <w:r w:rsidR="008C7F76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fruibile in italiano, inglese e in LIS, la lingua italiana dei segni)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il Ritratto Parlante di Vespasiano Gonzaga, il video 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che riproduce scene di corte 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ambientat</w:t>
      </w:r>
      <w:r w:rsidR="00DD34A9"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</w:t>
      </w:r>
      <w:r w:rsidRPr="00DD34A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nel piano nobile di Palazzo Giardino e il modello urbanistico di Sabbioneta. </w:t>
      </w:r>
    </w:p>
    <w:p w14:paraId="4A3220D9" w14:textId="21B454AB" w:rsidR="00DA08B5" w:rsidRDefault="00DA08B5" w:rsidP="0065051E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Il Mantova e Sabbioneta Heritage Centre è un progetto in </w:t>
      </w:r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divenire, che punta a porsi come luogo di valorizzazione del sito UNESCO ma soprattutto come laboratorio di esperienze interpretative e inclusive rivolto a cittadini e turisti. Nel 2024 sono stati realizzati incontri formativi dedicati all’approccio dell’Heritage </w:t>
      </w:r>
      <w:proofErr w:type="spellStart"/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Interpretation</w:t>
      </w:r>
      <w:proofErr w:type="spellEnd"/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(Interpretazione del Patrimonio), mentre a breve saranno mess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</w:t>
      </w:r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disposizione </w:t>
      </w:r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le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mappe tattili di Mantova e di Sabbioneta pensate per le persone cieche e ipovedenti</w:t>
      </w:r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, realizzate in collaborazione con l’Unione Ciechi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e Ipovedenti </w:t>
      </w:r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 Mantova, 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e </w:t>
      </w:r>
      <w:r w:rsid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le 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schede in Comunicazione Aumentativa Alternativa </w:t>
      </w:r>
      <w:r w:rsidR="00E079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progettate</w:t>
      </w:r>
      <w:r w:rsidRPr="00552353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per la fruizione di persone con bisogni comunicativi complessi. </w:t>
      </w:r>
    </w:p>
    <w:p w14:paraId="0CD53073" w14:textId="3EF6E8A1" w:rsidR="008C7F76" w:rsidRPr="00552353" w:rsidRDefault="008C7F76" w:rsidP="0065051E">
      <w:pPr>
        <w:spacing w:after="12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L’obiettivo è quello di consolidare nel tempo questi spazi come luogo di riferimento nell’immaginario locale e come tappa 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imprescindibile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per la conoscenza del sito Mantova e Sabbioneta, 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cui significato complessivo va oltre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la somma delle 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sue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parti e p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uò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costituire un reale valore aggiunto alla </w:t>
      </w:r>
      <w:r w:rsidR="00EB718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comprensione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delle singole città e dei singoli monumenti. </w:t>
      </w:r>
    </w:p>
    <w:p w14:paraId="585912AB" w14:textId="77777777" w:rsidR="00DA08B5" w:rsidRPr="00552353" w:rsidRDefault="00DA08B5" w:rsidP="0065051E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5BBC8B3C" w14:textId="30DA2C36" w:rsidR="00AD45B2" w:rsidRPr="00552353" w:rsidRDefault="00AD45B2" w:rsidP="0065051E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13F9CED" w14:textId="33CC2624" w:rsidR="00687879" w:rsidRDefault="00687879" w:rsidP="002F133D">
      <w:pPr>
        <w:spacing w:before="100" w:beforeAutospacing="1" w:after="100" w:afterAutospacing="1"/>
      </w:pPr>
    </w:p>
    <w:sectPr w:rsidR="0068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60"/>
    <w:rsid w:val="000B75F8"/>
    <w:rsid w:val="000B7EFC"/>
    <w:rsid w:val="000E4D6B"/>
    <w:rsid w:val="00122A8D"/>
    <w:rsid w:val="001B38D5"/>
    <w:rsid w:val="00284DE7"/>
    <w:rsid w:val="002A266B"/>
    <w:rsid w:val="002F133D"/>
    <w:rsid w:val="002F7101"/>
    <w:rsid w:val="003312A9"/>
    <w:rsid w:val="00433B85"/>
    <w:rsid w:val="00443924"/>
    <w:rsid w:val="00456350"/>
    <w:rsid w:val="00471DBB"/>
    <w:rsid w:val="00505E4B"/>
    <w:rsid w:val="00552353"/>
    <w:rsid w:val="00561E9D"/>
    <w:rsid w:val="00613124"/>
    <w:rsid w:val="0065051E"/>
    <w:rsid w:val="00687879"/>
    <w:rsid w:val="006C6E60"/>
    <w:rsid w:val="00714EAC"/>
    <w:rsid w:val="00745029"/>
    <w:rsid w:val="007B3064"/>
    <w:rsid w:val="008C7F76"/>
    <w:rsid w:val="00910722"/>
    <w:rsid w:val="00910900"/>
    <w:rsid w:val="00A76DF3"/>
    <w:rsid w:val="00AD45B2"/>
    <w:rsid w:val="00B00A76"/>
    <w:rsid w:val="00B66E43"/>
    <w:rsid w:val="00C479F0"/>
    <w:rsid w:val="00C51F3A"/>
    <w:rsid w:val="00DA08B5"/>
    <w:rsid w:val="00DC1E7F"/>
    <w:rsid w:val="00DC7E13"/>
    <w:rsid w:val="00DD34A9"/>
    <w:rsid w:val="00E079DE"/>
    <w:rsid w:val="00EB718E"/>
    <w:rsid w:val="00F15AC9"/>
    <w:rsid w:val="00F2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F8FB"/>
  <w15:chartTrackingRefBased/>
  <w15:docId w15:val="{D8E2D4F5-4E80-4E61-ADD7-A7364D9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6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6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6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6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6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6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6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6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6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6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6E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6E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6E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6E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6E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6E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6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6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6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6E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6E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6E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6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6E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6E60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C6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FF644A8F9FA4192D2731E335F2E77" ma:contentTypeVersion="10" ma:contentTypeDescription="Creare un nuovo documento." ma:contentTypeScope="" ma:versionID="7761239cdda448c0456a258807b8d2f7">
  <xsd:schema xmlns:xsd="http://www.w3.org/2001/XMLSchema" xmlns:xs="http://www.w3.org/2001/XMLSchema" xmlns:p="http://schemas.microsoft.com/office/2006/metadata/properties" xmlns:ns3="321a9660-5d86-4ab4-9d43-15ca77bc8390" targetNamespace="http://schemas.microsoft.com/office/2006/metadata/properties" ma:root="true" ma:fieldsID="ce794e2a49b08cd5b39e1cced4d40407" ns3:_="">
    <xsd:import namespace="321a9660-5d86-4ab4-9d43-15ca77bc83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a9660-5d86-4ab4-9d43-15ca77bc8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C99BB-B44C-4098-8874-FF521E34F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B1A8F-F31C-4E8F-967D-F61728712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27D18-94C3-4F98-848A-6A51E8302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a9660-5d86-4ab4-9d43-15ca77bc8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 Mariangela</dc:creator>
  <cp:keywords/>
  <dc:description/>
  <cp:lastModifiedBy>Busi Mariangela</cp:lastModifiedBy>
  <cp:revision>5</cp:revision>
  <cp:lastPrinted>2025-04-30T11:12:00Z</cp:lastPrinted>
  <dcterms:created xsi:type="dcterms:W3CDTF">2025-04-30T11:12:00Z</dcterms:created>
  <dcterms:modified xsi:type="dcterms:W3CDTF">2025-05-08T17:38:00Z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0x010100B47FF644A8F9FA4192D2731E335F2E77</vt:lpwstr>
  </property>
</Properties>
</file>